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AC" w:rsidRPr="00FE4CC5" w:rsidRDefault="009F2F03" w:rsidP="009F2F03">
      <w:pPr>
        <w:spacing w:after="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Pr="00FE4CC5">
        <w:rPr>
          <w:rFonts w:ascii="GHEA Grapalat" w:hAnsi="GHEA Grapalat" w:cs="Sylfaen"/>
          <w:sz w:val="24"/>
          <w:szCs w:val="24"/>
          <w:lang w:val="en-US"/>
        </w:rPr>
        <w:tab/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934AC" w:rsidRPr="00FE4CC5">
        <w:rPr>
          <w:rFonts w:ascii="GHEA Grapalat" w:hAnsi="GHEA Grapalat" w:cs="Sylfaen"/>
          <w:sz w:val="18"/>
          <w:szCs w:val="18"/>
          <w:lang w:val="hy-AM"/>
        </w:rPr>
        <w:t xml:space="preserve">Հավելված N1 </w:t>
      </w:r>
    </w:p>
    <w:p w:rsidR="008934AC" w:rsidRPr="00FE4CC5" w:rsidRDefault="009F2F03" w:rsidP="008934AC">
      <w:pPr>
        <w:spacing w:after="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E4CC5">
        <w:rPr>
          <w:rFonts w:ascii="GHEA Grapalat" w:hAnsi="GHEA Grapalat" w:cs="Sylfaen"/>
          <w:sz w:val="18"/>
          <w:szCs w:val="18"/>
          <w:lang w:val="hy-AM"/>
        </w:rPr>
        <w:t xml:space="preserve">ՀՀ Սյունիքի մարզի </w:t>
      </w:r>
      <w:r w:rsidR="000A2A01" w:rsidRPr="00FE4CC5">
        <w:rPr>
          <w:rFonts w:ascii="GHEA Grapalat" w:hAnsi="GHEA Grapalat" w:cs="Sylfaen"/>
          <w:sz w:val="18"/>
          <w:szCs w:val="18"/>
          <w:lang w:val="hy-AM"/>
        </w:rPr>
        <w:t xml:space="preserve">Սիսիան </w:t>
      </w:r>
      <w:r w:rsidR="008934AC" w:rsidRPr="00FE4CC5">
        <w:rPr>
          <w:rFonts w:ascii="GHEA Grapalat" w:hAnsi="GHEA Grapalat" w:cs="Sylfaen"/>
          <w:sz w:val="18"/>
          <w:szCs w:val="18"/>
          <w:lang w:val="hy-AM"/>
        </w:rPr>
        <w:t>համայնքի ավագանու</w:t>
      </w:r>
    </w:p>
    <w:p w:rsidR="008934AC" w:rsidRPr="00FE4CC5" w:rsidRDefault="000A2A01" w:rsidP="008934AC">
      <w:pPr>
        <w:spacing w:after="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E4CC5">
        <w:rPr>
          <w:rFonts w:ascii="GHEA Grapalat" w:hAnsi="GHEA Grapalat" w:cs="Sylfaen"/>
          <w:sz w:val="18"/>
          <w:szCs w:val="18"/>
          <w:lang w:val="hy-AM"/>
        </w:rPr>
        <w:t>202</w:t>
      </w:r>
      <w:r w:rsidR="009F2F03" w:rsidRPr="00FE4CC5">
        <w:rPr>
          <w:rFonts w:ascii="GHEA Grapalat" w:hAnsi="GHEA Grapalat" w:cs="Sylfaen"/>
          <w:sz w:val="18"/>
          <w:szCs w:val="18"/>
          <w:lang w:val="hy-AM"/>
        </w:rPr>
        <w:t>4</w:t>
      </w:r>
      <w:r w:rsidR="008934AC" w:rsidRPr="00FE4CC5">
        <w:rPr>
          <w:rFonts w:ascii="GHEA Grapalat" w:hAnsi="GHEA Grapalat" w:cs="Sylfaen"/>
          <w:sz w:val="18"/>
          <w:szCs w:val="18"/>
          <w:lang w:val="hy-AM"/>
        </w:rPr>
        <w:t xml:space="preserve"> թվականի</w:t>
      </w:r>
      <w:r w:rsidR="00DC04FC" w:rsidRPr="00FE4CC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F2F03" w:rsidRPr="00FE4CC5">
        <w:rPr>
          <w:rFonts w:ascii="GHEA Grapalat" w:hAnsi="GHEA Grapalat" w:cs="Sylfaen"/>
          <w:sz w:val="18"/>
          <w:szCs w:val="18"/>
          <w:lang w:val="hy-AM"/>
        </w:rPr>
        <w:t>փետրվարի 16</w:t>
      </w:r>
      <w:r w:rsidR="00DC04FC" w:rsidRPr="00FE4CC5">
        <w:rPr>
          <w:rFonts w:ascii="GHEA Grapalat" w:hAnsi="GHEA Grapalat" w:cs="Sylfaen"/>
          <w:sz w:val="18"/>
          <w:szCs w:val="18"/>
          <w:lang w:val="hy-AM"/>
        </w:rPr>
        <w:t xml:space="preserve">-ի </w:t>
      </w:r>
      <w:r w:rsidR="002C0B4A" w:rsidRPr="00FE4CC5">
        <w:rPr>
          <w:rFonts w:ascii="GHEA Grapalat" w:hAnsi="GHEA Grapalat" w:cs="Sylfaen"/>
          <w:sz w:val="18"/>
          <w:szCs w:val="18"/>
          <w:lang w:val="hy-AM"/>
        </w:rPr>
        <w:t>թիվ 012</w:t>
      </w:r>
      <w:r w:rsidR="008934AC" w:rsidRPr="00FE4CC5">
        <w:rPr>
          <w:rFonts w:ascii="GHEA Grapalat" w:hAnsi="GHEA Grapalat" w:cs="Sylfaen"/>
          <w:sz w:val="18"/>
          <w:szCs w:val="18"/>
          <w:lang w:val="hy-AM"/>
        </w:rPr>
        <w:t>-Ն որոշման</w:t>
      </w:r>
    </w:p>
    <w:p w:rsidR="00DC04FC" w:rsidRPr="00FE4CC5" w:rsidRDefault="00DC04FC" w:rsidP="008934A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934AC" w:rsidRPr="00FE4CC5" w:rsidRDefault="008934AC" w:rsidP="008934A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br/>
        <w:t>Հ</w:t>
      </w:r>
      <w:r w:rsidR="00C624E1"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C624E1" w:rsidRPr="00FE4CC5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A2A01" w:rsidRPr="00FE4CC5">
        <w:rPr>
          <w:rFonts w:ascii="GHEA Grapalat" w:hAnsi="GHEA Grapalat" w:cs="Sylfaen"/>
          <w:b/>
          <w:sz w:val="24"/>
          <w:szCs w:val="24"/>
          <w:lang w:val="hy-AM"/>
        </w:rPr>
        <w:t>ՍՅՈՒՆԻՔԻ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0A2A01" w:rsidRPr="00FE4CC5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8934AC" w:rsidRPr="00FE4CC5" w:rsidRDefault="008934AC" w:rsidP="00DC04FC">
      <w:pPr>
        <w:pStyle w:val="a6"/>
        <w:numPr>
          <w:ilvl w:val="0"/>
          <w:numId w:val="4"/>
        </w:numPr>
        <w:ind w:left="284" w:hanging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FE4CC5">
        <w:rPr>
          <w:rFonts w:ascii="Calibri" w:hAnsi="Calibri" w:cs="Calibri"/>
          <w:b/>
          <w:sz w:val="24"/>
          <w:szCs w:val="24"/>
          <w:lang w:val="hy-AM"/>
        </w:rPr>
        <w:t> 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Սույնով սահմանվում է Հայաստանի Հանրապետության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 տեղադրելու կարգ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>ը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(այսուհետ՝ կարգ)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ընդունվել է «Գովազդի մասին» Հայաստանի Հանրապետության օրենքին համապատասխան։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Արտաքին գովազդն (այսուհետ՝ գովազդ)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FE4CC5">
        <w:rPr>
          <w:rFonts w:ascii="GHEA Grapalat" w:hAnsi="GHEA Grapalat" w:cs="Sylfaen"/>
          <w:sz w:val="24"/>
          <w:szCs w:val="24"/>
          <w:lang w:val="hy-AM"/>
        </w:rPr>
        <w:tab/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տեղեկատվությունը գովազդ չի համարվում։</w:t>
      </w:r>
      <w:r w:rsidRPr="00FE4CC5">
        <w:rPr>
          <w:rFonts w:ascii="GHEA Grapalat" w:hAnsi="GHEA Grapalat" w:cs="Sylfaen"/>
          <w:sz w:val="24"/>
          <w:szCs w:val="24"/>
          <w:lang w:val="hy-AM"/>
        </w:rPr>
        <w:tab/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Սույն կարգը տարածվում է բոլոր այն տարածքների վրա, որտեղ պետք է տեղադրվի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գովազդը։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C04FC" w:rsidRPr="00FE4CC5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Սիսիան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համայնքի սեփականություն համարվող հողամասի վրա գովազդի միջոց տեղադրելու համար Հայաստանի Հանրապետության 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>Հ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ողային օրենսգրքով սահմանված կարգով, </w:t>
      </w:r>
      <w:r w:rsidR="00862E4A" w:rsidRPr="00FE4CC5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կարգին և պայմաններին համապատասխան,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 դիմում ներկայացրած գովազդատուին օգտագործման իրավունքով տրամադրվում է հողամաս՝ կնքելով հողօգտագործման համապատասխան պայմանագիր, հետագայում տվյալ կողմի հետ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պայմանով։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</w:t>
      </w:r>
      <w:r w:rsidR="00E31F9A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հարաբերությունները կարգավորվում են նրանց միջև կնքված քաղաքացիաիրավական պայմանագրով։</w:t>
      </w:r>
      <w:r w:rsidRPr="00FE4CC5">
        <w:rPr>
          <w:rFonts w:ascii="GHEA Grapalat" w:hAnsi="GHEA Grapalat" w:cs="Sylfaen"/>
          <w:sz w:val="24"/>
          <w:szCs w:val="24"/>
          <w:lang w:val="hy-AM"/>
        </w:rPr>
        <w:tab/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Գովազդի միջոց տեղադրելու թույլտվության մասին որոշման նախագծին կցվում է գովազդատուի ու տարածքի սեփականատիրոջ միջև կնքված պայմանագրի պատճենը։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6009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lastRenderedPageBreak/>
        <w:t>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պահանջներին։</w:t>
      </w:r>
    </w:p>
    <w:p w:rsidR="008934AC" w:rsidRPr="00FE4CC5" w:rsidRDefault="008934AC" w:rsidP="006B6009">
      <w:pPr>
        <w:pStyle w:val="a6"/>
        <w:spacing w:line="240" w:lineRule="auto"/>
        <w:ind w:left="6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</w:p>
    <w:p w:rsidR="008934AC" w:rsidRPr="00FE4CC5" w:rsidRDefault="008934AC" w:rsidP="00C95CFC">
      <w:pPr>
        <w:pStyle w:val="a6"/>
        <w:numPr>
          <w:ilvl w:val="0"/>
          <w:numId w:val="4"/>
        </w:numPr>
        <w:spacing w:line="240" w:lineRule="auto"/>
        <w:ind w:left="284" w:hanging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ԳՈՎԱԶԴ ՏԵՂԱԴՐԵԼՈՒ ԹՈՒՅԼՏՎՈՒԹՅՈՒՆԸ</w:t>
      </w:r>
    </w:p>
    <w:p w:rsidR="00DC04FC" w:rsidRPr="00FE4CC5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Calibri" w:hAnsi="Calibri" w:cs="Calibri"/>
          <w:sz w:val="24"/>
          <w:szCs w:val="24"/>
          <w:lang w:val="hy-AM"/>
        </w:rPr>
        <w:t> 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համայնքի տարածքում 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որոշմամբ։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Գովազդային միջոց տեղադրելու համար գովազդատուն դիմում-հայտ է ներկայացնում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C04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DC04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5CFC" w:rsidRPr="00FE4CC5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դիմում-հայտը և անհրաժեշտ փաստաթղթերը ստանալուց հետո պարզում է գովազդային միջոցի համապատասխանությունը կարգի և պայմանների պահանջներին (եթե այն թերի է, վերադարձվում</w:t>
      </w:r>
      <w:r w:rsidR="00C9700C" w:rsidRPr="00FE4CC5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` թերությունը վերացնելու և նորից 15-օրյա ժամկետում ներկայացնելու համար), և 15 օրվա ընթացքում համայնքի ղեկավարի որոշմամբ տրվում է գովազդ տեղադրելու թույլտվություն, որում նշվում են՝ գովազդատուի անվանումը, գովազդի չափերը, տեղադրման ձևը, գովազդային նյութերի անվանումը, թույլտվության գործողության ժամկետը և կցվում է գովազդի էսքիզը։</w:t>
      </w:r>
      <w:r w:rsidR="00C95C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5C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Թույլտվության որոշման նախագծերը նախապատրաստում է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աշխատակազմի </w:t>
      </w:r>
      <w:r w:rsidR="000A2A01" w:rsidRPr="00FE4C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զարգացման ծրագրերի, տուրիզմի, առևտրի, սպասարկման և գովազդի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բաժինը կամ համապատասխան համայնքային պաշտոնատար անձը՝ նախագծին կցելով համապատասխան եզրակացությունը։</w:t>
      </w:r>
      <w:r w:rsidR="00C95C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5CF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Սույն կարգ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հայտերի առկայության դեպքում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  <w:r w:rsidR="00C95C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Գովազդի միջոց տեղադրելու վերաբերյալ գովազդատուի դիմում-հայտը</w:t>
      </w:r>
      <w:r w:rsidR="00E31F9A" w:rsidRPr="00FE4CC5">
        <w:rPr>
          <w:rFonts w:ascii="GHEA Grapalat" w:hAnsi="GHEA Grapalat" w:cs="Sylfaen"/>
          <w:sz w:val="24"/>
          <w:szCs w:val="24"/>
          <w:lang w:val="hy-AM"/>
        </w:rPr>
        <w:t xml:space="preserve"> 15 </w:t>
      </w:r>
      <w:r w:rsidRPr="00FE4CC5">
        <w:rPr>
          <w:rFonts w:ascii="GHEA Grapalat" w:hAnsi="GHEA Grapalat" w:cs="Sylfaen"/>
          <w:sz w:val="24"/>
          <w:szCs w:val="24"/>
          <w:lang w:val="hy-AM"/>
        </w:rPr>
        <w:t>օրյա ժամկետում կարող է մերժվել այն դեպքում եթե՝</w:t>
      </w:r>
    </w:p>
    <w:p w:rsidR="008934AC" w:rsidRPr="00FE4CC5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ներկայացված փաստաթղթերը չեն համապատասխանում սույն կարգի և պայմանների պահանջներին.</w:t>
      </w:r>
    </w:p>
    <w:p w:rsidR="008934AC" w:rsidRPr="00FE4CC5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lastRenderedPageBreak/>
        <w:t>խախտվում են</w:t>
      </w:r>
      <w:r w:rsidR="00C9700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«Գովազդի մասին», «Լեզվի մասին» Հայաստանի Հանրապետության օրենքների և այլ իրավական ակտերի պահանջները.</w:t>
      </w:r>
    </w:p>
    <w:p w:rsidR="008934AC" w:rsidRPr="00FE4CC5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մինչև գովազդային նյութերի տեղադրումը կամ արդեն տեղադրված գովազդվող տեղեկատվության փոփոխումը, այդ մասին գրավոր տեղեկացնում</w:t>
      </w:r>
      <w:r w:rsidR="00C9700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 xml:space="preserve"> 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 հետ։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Գովազդը պետք է համապատասխանի «Գովազդի մասին», «Լեզվի մասին» Հայաստանի Հանրապետության օրենքների,</w:t>
      </w:r>
      <w:r w:rsidR="00C9700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սույն կարգի, պայմանների և այլ իրավական ակտերի պահանջներին։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</w:t>
      </w:r>
      <w:r w:rsidRPr="00FE4CC5">
        <w:rPr>
          <w:rFonts w:ascii="GHEA Grapalat" w:hAnsi="GHEA Grapalat" w:cs="Sylfaen"/>
          <w:sz w:val="24"/>
          <w:szCs w:val="24"/>
          <w:lang w:val="hy-AM"/>
        </w:rPr>
        <w:t>ովազդատուն իրավասու չէ գովազդի տեղադրման համար իրեն տրված թույլտվությունը փոխանցել կամ օտարել այլ անձի։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 տեղադրելու թույլտվության ժամկետը լրանալու, պայմանագրով նախատեսված հիմքերով այն վաղաժամկետ դադարելու, լուծելու դեպքում գովազդատուն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կողմից չկատարելու կամ ոչ պատշաճ կատարելու դեպքում </w:t>
      </w:r>
      <w:r w:rsidR="000A2A01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որոշման համաձայն՝ գովազդի (գովազդային միջոցի)</w:t>
      </w:r>
      <w:r w:rsidR="00877D0E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ապամոնտաժումն իրականացվում է համայնքի կողմից՝ օրենքով սահմանված կարգով գովազդատուից ստանալով համապատասխան փոխհատուցում։</w:t>
      </w:r>
    </w:p>
    <w:p w:rsidR="00C95CFC" w:rsidRPr="00FE4CC5" w:rsidRDefault="00C95CFC" w:rsidP="00C95CFC">
      <w:pPr>
        <w:pStyle w:val="a6"/>
        <w:spacing w:line="240" w:lineRule="auto"/>
        <w:ind w:left="6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95CFC" w:rsidRPr="00FE4CC5" w:rsidRDefault="008934AC" w:rsidP="00C95CFC">
      <w:pPr>
        <w:pStyle w:val="a6"/>
        <w:numPr>
          <w:ilvl w:val="0"/>
          <w:numId w:val="4"/>
        </w:numPr>
        <w:spacing w:line="240" w:lineRule="auto"/>
        <w:ind w:left="284" w:hanging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ՏԵՂԱԿԱՆ ՏՈՒՐՔԵՐԻ</w:t>
      </w:r>
      <w:r w:rsidR="00C95CFC"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b/>
          <w:sz w:val="24"/>
          <w:szCs w:val="24"/>
          <w:lang w:val="hy-AM"/>
        </w:rPr>
        <w:t>ԵՎ ՀՈՂՕԳՏԱԳՈՐԾՄԱՆ ՎՃԱՐԻ ՄՈՒԾՄԱՆ ԿԱՐԳԸ</w:t>
      </w:r>
    </w:p>
    <w:p w:rsidR="008934AC" w:rsidRPr="00FE4CC5" w:rsidRDefault="00E34594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</w:t>
      </w:r>
      <w:r w:rsidR="00C95CFC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վճարումը կատարում է «Տեղական տուրքերի և վճարների մասին» Հայաստանի Հանրապետության օրենքի համաձայն՝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lastRenderedPageBreak/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բյուջե։</w:t>
      </w:r>
    </w:p>
    <w:p w:rsidR="008934AC" w:rsidRPr="00FE4CC5" w:rsidRDefault="00E34594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ղեկավարը, իսկ գովազդի մասին օրենսդրության պահպանման նկատմամբ վերահսկողությունը՝ ՀՀ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 մարզպետը։</w:t>
      </w:r>
    </w:p>
    <w:p w:rsidR="008934AC" w:rsidRPr="00FE4CC5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B10A91" w:rsidP="00B10A91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E4CC5">
        <w:rPr>
          <w:rFonts w:ascii="GHEA Grapalat" w:hAnsi="GHEA Grapalat"/>
          <w:b/>
          <w:sz w:val="24"/>
          <w:lang w:val="hy-AM"/>
        </w:rPr>
        <w:t>ԱՇԽԱՏԱԿԱԶՄԻ ՔԱՐՏՈՒՂԱՐ՝                                      Կ</w:t>
      </w:r>
      <w:r w:rsidRPr="00FE4CC5">
        <w:rPr>
          <w:rFonts w:ascii="Cambria Math" w:hAnsi="Cambria Math" w:cs="Cambria Math"/>
          <w:b/>
          <w:sz w:val="24"/>
          <w:lang w:val="hy-AM"/>
        </w:rPr>
        <w:t xml:space="preserve">. </w:t>
      </w:r>
      <w:r w:rsidRPr="00FE4CC5">
        <w:rPr>
          <w:rFonts w:ascii="GHEA Grapalat" w:hAnsi="GHEA Grapalat"/>
          <w:b/>
          <w:sz w:val="24"/>
          <w:lang w:val="hy-AM"/>
        </w:rPr>
        <w:t>ԻՎԱՆՅԱՆ</w:t>
      </w: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FE4CC5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FE4CC5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E4CC5" w:rsidRPr="00FE4CC5" w:rsidRDefault="00FE4CC5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A77D7" w:rsidRPr="00FE4CC5" w:rsidRDefault="00C95CFC" w:rsidP="006A77D7">
      <w:pPr>
        <w:spacing w:after="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FE4CC5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6A77D7" w:rsidRPr="00FE4CC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</w:t>
      </w:r>
      <w:r w:rsidR="006A77D7" w:rsidRPr="00FE4CC5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="006A77D7" w:rsidRPr="00FE4CC5">
        <w:rPr>
          <w:rFonts w:ascii="GHEA Grapalat" w:hAnsi="GHEA Grapalat" w:cs="Sylfaen"/>
          <w:sz w:val="18"/>
          <w:szCs w:val="18"/>
          <w:lang w:val="hy-AM"/>
        </w:rPr>
        <w:t xml:space="preserve"> N2</w:t>
      </w:r>
    </w:p>
    <w:p w:rsidR="006A77D7" w:rsidRPr="00FE4CC5" w:rsidRDefault="006A77D7" w:rsidP="006A77D7">
      <w:pPr>
        <w:spacing w:after="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E4CC5">
        <w:rPr>
          <w:rFonts w:ascii="GHEA Grapalat" w:hAnsi="GHEA Grapalat" w:cs="Sylfaen"/>
          <w:sz w:val="18"/>
          <w:szCs w:val="18"/>
          <w:lang w:val="hy-AM"/>
        </w:rPr>
        <w:t>ՀՀ Սյունիքի մարզի Սիսիան համայնքի ավագանու</w:t>
      </w:r>
    </w:p>
    <w:p w:rsidR="008934AC" w:rsidRPr="00FE4CC5" w:rsidRDefault="006A77D7" w:rsidP="006A77D7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E4CC5">
        <w:rPr>
          <w:rFonts w:ascii="GHEA Grapalat" w:hAnsi="GHEA Grapalat" w:cs="Sylfaen"/>
          <w:sz w:val="18"/>
          <w:szCs w:val="18"/>
          <w:lang w:val="hy-AM"/>
        </w:rPr>
        <w:t>2024 թվականի փետրվարի 16-ի թիվ 012-Ն որոշման</w:t>
      </w:r>
    </w:p>
    <w:p w:rsidR="008934AC" w:rsidRPr="00FE4CC5" w:rsidRDefault="008934AC" w:rsidP="00783875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E4CC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</w:t>
      </w:r>
    </w:p>
    <w:p w:rsidR="008934AC" w:rsidRPr="00FE4CC5" w:rsidRDefault="008934AC" w:rsidP="00783875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ՊԱՅՄԱՆՆԵՐ</w:t>
      </w:r>
    </w:p>
    <w:p w:rsidR="008934AC" w:rsidRPr="00FE4CC5" w:rsidRDefault="00C624E1" w:rsidP="00783875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="008934AC"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34594" w:rsidRPr="00FE4CC5">
        <w:rPr>
          <w:rFonts w:ascii="GHEA Grapalat" w:hAnsi="GHEA Grapalat" w:cs="Sylfaen"/>
          <w:b/>
          <w:sz w:val="24"/>
          <w:szCs w:val="24"/>
          <w:lang w:val="hy-AM"/>
        </w:rPr>
        <w:t>ՍՅՈՒՆԻՔԻ</w:t>
      </w:r>
      <w:r w:rsidR="008934AC"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E34594" w:rsidRPr="00FE4CC5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</w:t>
      </w:r>
    </w:p>
    <w:p w:rsidR="008934AC" w:rsidRPr="00FE4CC5" w:rsidRDefault="008934AC" w:rsidP="00783875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934AC" w:rsidRPr="00FE4CC5" w:rsidRDefault="008934AC" w:rsidP="00783875">
      <w:pPr>
        <w:pStyle w:val="a6"/>
        <w:numPr>
          <w:ilvl w:val="0"/>
          <w:numId w:val="6"/>
        </w:numPr>
        <w:spacing w:line="240" w:lineRule="auto"/>
        <w:ind w:left="567" w:hanging="28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ԸՆԴՀԱՆՈՒՐ ԴՐՈՒՅԹՆԵՐ</w:t>
      </w:r>
    </w:p>
    <w:p w:rsidR="008934AC" w:rsidRPr="00FE4CC5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E34594" w:rsidRPr="00FE4CC5">
        <w:rPr>
          <w:rFonts w:ascii="GHEA Grapalat" w:hAnsi="GHEA Grapalat" w:cs="Courier New"/>
          <w:sz w:val="24"/>
          <w:szCs w:val="24"/>
          <w:lang w:val="hy-AM"/>
        </w:rPr>
        <w:t>Սյունիքի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E34594" w:rsidRPr="00FE4CC5">
        <w:rPr>
          <w:rFonts w:ascii="GHEA Grapalat" w:hAnsi="GHEA Grapalat" w:cs="Courier New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:rsidR="008934AC" w:rsidRPr="00FE4CC5" w:rsidRDefault="00E34594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alibri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:rsidR="00C95CFC" w:rsidRPr="00FE4CC5" w:rsidRDefault="00C95CFC" w:rsidP="00783875">
      <w:pPr>
        <w:pStyle w:val="a6"/>
        <w:spacing w:line="240" w:lineRule="auto"/>
        <w:ind w:left="4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934AC" w:rsidRPr="00FE4CC5" w:rsidRDefault="008934AC" w:rsidP="00783875">
      <w:pPr>
        <w:pStyle w:val="a6"/>
        <w:numPr>
          <w:ilvl w:val="0"/>
          <w:numId w:val="6"/>
        </w:numPr>
        <w:spacing w:line="240" w:lineRule="auto"/>
        <w:ind w:left="709" w:hanging="34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ԳՈՎԱԶԴԻ ՄԻՋՈՑՆԵՐԸ</w:t>
      </w:r>
    </w:p>
    <w:p w:rsidR="008934AC" w:rsidRPr="00FE4CC5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:rsidR="00C95CFC" w:rsidRPr="00FE4CC5" w:rsidRDefault="00C95CFC" w:rsidP="00783875">
      <w:pPr>
        <w:pStyle w:val="a6"/>
        <w:spacing w:line="240" w:lineRule="auto"/>
        <w:ind w:left="4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934AC" w:rsidRPr="00FE4CC5" w:rsidRDefault="008934AC" w:rsidP="00783875">
      <w:pPr>
        <w:pStyle w:val="a6"/>
        <w:numPr>
          <w:ilvl w:val="0"/>
          <w:numId w:val="6"/>
        </w:numPr>
        <w:spacing w:line="240" w:lineRule="auto"/>
        <w:ind w:left="851" w:hanging="49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ԳՈՎԱԶԴ ՏԵՂԱԴՐԵԼՈՒ ՊԱՅՄԱՆՆԵՐԸ</w:t>
      </w:r>
    </w:p>
    <w:p w:rsidR="008934AC" w:rsidRPr="00FE4CC5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:rsidR="008934AC" w:rsidRPr="00FE4CC5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գովազդի միջոցները չպետք է՝</w:t>
      </w:r>
    </w:p>
    <w:p w:rsidR="008934AC" w:rsidRPr="00FE4CC5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</w:t>
      </w:r>
      <w:r w:rsidRPr="00FE4CC5">
        <w:rPr>
          <w:rFonts w:ascii="Calibri" w:hAnsi="Calibri" w:cs="Calibri"/>
          <w:sz w:val="24"/>
          <w:szCs w:val="24"/>
          <w:lang w:val="hy-AM"/>
        </w:rPr>
        <w:t> </w:t>
      </w:r>
      <w:r w:rsidRPr="00FE4CC5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934AC" w:rsidRPr="00FE4CC5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բ.  սահմանափակեն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տեսանելիությու</w:t>
      </w:r>
      <w:r w:rsidRPr="00FE4CC5">
        <w:rPr>
          <w:rFonts w:ascii="GHEA Grapalat" w:hAnsi="GHEA Grapalat" w:cs="Sylfaen"/>
          <w:sz w:val="24"/>
          <w:szCs w:val="24"/>
          <w:lang w:val="hy-AM"/>
        </w:rPr>
        <w:t>նը ավտոճանապարհների վրա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83875" w:rsidRPr="00FE4CC5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34AC" w:rsidRPr="00FE4CC5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ե.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:rsidR="00783875" w:rsidRPr="00FE4CC5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ցանկացած տիպի գովազդի միջոցների տեղադրումը պետք է հիմնավորել համապատասխան նախագծային և տեսողական ընկալման դիտակետից.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83875" w:rsidRPr="00FE4CC5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գովազդ տեղադրել չի թույլատրվում՝</w:t>
      </w:r>
      <w:r w:rsidR="00783875" w:rsidRPr="00FE4CC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83875" w:rsidRPr="00FE4CC5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lastRenderedPageBreak/>
        <w:t>ա.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83875" w:rsidRPr="00FE4CC5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34AC" w:rsidRPr="00FE4CC5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դ.</w:t>
      </w:r>
      <w:r w:rsidRPr="00FE4CC5">
        <w:rPr>
          <w:rFonts w:ascii="Calibri" w:hAnsi="Calibri" w:cs="Calibri"/>
          <w:sz w:val="24"/>
          <w:szCs w:val="24"/>
          <w:lang w:val="hy-AM"/>
        </w:rPr>
        <w:t> </w:t>
      </w:r>
      <w:r w:rsidRPr="00FE4CC5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:rsidR="008934AC" w:rsidRPr="00FE4CC5" w:rsidRDefault="00E34594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:rsidR="00783875" w:rsidRPr="00FE4CC5" w:rsidRDefault="00783875" w:rsidP="00783875">
      <w:pPr>
        <w:pStyle w:val="a6"/>
        <w:spacing w:line="24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934AC" w:rsidRPr="00FE4CC5" w:rsidRDefault="008934AC" w:rsidP="00783875">
      <w:pPr>
        <w:pStyle w:val="a6"/>
        <w:numPr>
          <w:ilvl w:val="0"/>
          <w:numId w:val="6"/>
        </w:numPr>
        <w:spacing w:line="240" w:lineRule="auto"/>
        <w:ind w:left="567" w:hanging="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4CC5">
        <w:rPr>
          <w:rFonts w:ascii="GHEA Grapalat" w:hAnsi="GHEA Grapalat" w:cs="Sylfaen"/>
          <w:b/>
          <w:sz w:val="24"/>
          <w:szCs w:val="24"/>
          <w:lang w:val="hy-AM"/>
        </w:rPr>
        <w:t>ԳՈՎԱԶԴԻ ԱՌԱՆՁԻՆ ՄԻՋՈՑՆԵՐԻ ՏԵՍԱԿՆԵՐԸ</w:t>
      </w:r>
    </w:p>
    <w:p w:rsidR="008934AC" w:rsidRPr="00FE4CC5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դաշտից. </w:t>
      </w:r>
    </w:p>
    <w:p w:rsidR="00783875" w:rsidRPr="00FE4CC5" w:rsidRDefault="008934AC" w:rsidP="0078387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Տեղեկատու դաշտի չափի տեսակներն են՝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83875" w:rsidRPr="00FE4CC5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34AC" w:rsidRPr="00FE4CC5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:rsidR="00783875" w:rsidRPr="00FE4CC5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վահանակներին ներկայացվող պահանջներն են՝</w:t>
      </w:r>
      <w:r w:rsidR="00783875" w:rsidRPr="00FE4CC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  <w:r w:rsidR="00783875" w:rsidRPr="00FE4CC5">
        <w:rPr>
          <w:rFonts w:ascii="GHEA Grapalat" w:hAnsi="GHEA Grapalat" w:cs="Sylfaen"/>
          <w:sz w:val="24"/>
          <w:szCs w:val="24"/>
          <w:lang w:val="en-US"/>
        </w:rPr>
        <w:t xml:space="preserve">, </w:t>
      </w:r>
    </w:p>
    <w:p w:rsidR="008934AC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:rsidR="008934AC" w:rsidRPr="00FE4CC5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:rsidR="008934AC" w:rsidRPr="00FE4CC5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:rsidR="008934AC" w:rsidRPr="00FE4CC5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:rsidR="008934AC" w:rsidRPr="00FE4CC5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</w:t>
      </w:r>
      <w:r w:rsidR="00877D0E" w:rsidRPr="00FE4CC5">
        <w:rPr>
          <w:rFonts w:ascii="GHEA Grapalat" w:hAnsi="GHEA Grapalat" w:cs="Sylfaen"/>
          <w:sz w:val="24"/>
          <w:szCs w:val="24"/>
          <w:lang w:val="hy-AM"/>
        </w:rPr>
        <w:t>x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1.2մ, 3մx4մ, 3մx6մ տեղեկատու դաշտով և այլ չափերի վահանակներ.</w:t>
      </w:r>
    </w:p>
    <w:p w:rsidR="00783875" w:rsidRPr="00FE4CC5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lastRenderedPageBreak/>
        <w:t>մայրուղիներում և պողոտաներում մեկ ուղղությամբ երկու հարևան վահանակների միջև հեռավորությունը պետք է կազմի առնվազն՝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34AC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:rsidR="00783875" w:rsidRPr="00FE4CC5" w:rsidRDefault="00877D0E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ն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եղ փողոցներում և նրբանցքներում մեկ ուղղությամբ երկու հարևան վահանակների միջև եղած հեռավորությունը պետք է կազմի առնվազն՝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783875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34AC" w:rsidRPr="00FE4CC5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FE4CC5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:rsidR="008934AC" w:rsidRPr="00FE4CC5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934AC" w:rsidRPr="00FE4CC5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E34594" w:rsidRPr="00FE4CC5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 համայնքի բարեկարգման տարրերի վրա տեղադրվող գովազդի և տեղեկատվության մնայուն միջոցների տեսակներն են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783875" w:rsidRPr="00FE4CC5" w:rsidRDefault="008934AC" w:rsidP="00783875">
      <w:pPr>
        <w:pStyle w:val="a6"/>
        <w:numPr>
          <w:ilvl w:val="1"/>
          <w:numId w:val="7"/>
        </w:numPr>
        <w:spacing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տանիքային կայանքները ծավալային կամ մակերեսային կոնստրուկցիաներ են, որոնք տեղադրվում են ամբողջովին կամ մասամբ՝ շենքի ճակատային մասում կամ տանիքին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783875" w:rsidRPr="00FE4CC5" w:rsidRDefault="008934AC" w:rsidP="00783875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</w:t>
      </w:r>
      <w:r w:rsidRPr="00FE4CC5">
        <w:rPr>
          <w:rFonts w:ascii="Calibri" w:hAnsi="Calibri" w:cs="Calibri"/>
          <w:sz w:val="24"/>
          <w:szCs w:val="24"/>
          <w:lang w:val="hy-AM"/>
        </w:rPr>
        <w:t> </w:t>
      </w:r>
      <w:r w:rsidR="00783875" w:rsidRPr="00FE4CC5">
        <w:rPr>
          <w:rFonts w:ascii="GHEA Grapalat" w:hAnsi="GHEA Grapalat" w:cs="Calibri"/>
          <w:sz w:val="24"/>
          <w:szCs w:val="24"/>
          <w:lang w:val="hy-AM"/>
        </w:rPr>
        <w:t>տ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անիքային կայանքները բաղկացած են կոնստրուկցիայի կրող մասի ամրակցման տարրերից և տեղեկատու 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 xml:space="preserve">կայանքից,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3875" w:rsidRPr="00FE4CC5">
        <w:rPr>
          <w:rFonts w:ascii="GHEA Grapalat" w:hAnsi="GHEA Grapalat" w:cs="Sylfaen"/>
          <w:sz w:val="24"/>
          <w:szCs w:val="24"/>
          <w:lang w:val="hy-AM"/>
        </w:rPr>
        <w:t>տ</w:t>
      </w:r>
      <w:r w:rsidRPr="00FE4CC5">
        <w:rPr>
          <w:rFonts w:ascii="GHEA Grapalat" w:hAnsi="GHEA Grapalat" w:cs="Sylfaen"/>
          <w:sz w:val="24"/>
          <w:szCs w:val="24"/>
          <w:lang w:val="hy-AM"/>
        </w:rPr>
        <w:t>անիքային կայանքները պետք է ունենան հակահրդեհային և հոսանքի վթարային անջատման համակարգ</w:t>
      </w:r>
      <w:r w:rsidR="002C4609" w:rsidRPr="00FE4CC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4609" w:rsidRPr="00FE4CC5">
        <w:rPr>
          <w:rFonts w:ascii="GHEA Grapalat" w:hAnsi="GHEA Grapalat" w:cs="Sylfaen"/>
          <w:sz w:val="24"/>
          <w:szCs w:val="24"/>
          <w:lang w:val="hy-AM"/>
        </w:rPr>
        <w:t>ա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մրակցման տարրերը, ինչպես նաև կոնստրուկցիայի կրող մասի հակառակ կողմը պետք է ծածկվեն դեկորատիվ </w:t>
      </w:r>
      <w:r w:rsidR="002C4609" w:rsidRPr="00FE4CC5">
        <w:rPr>
          <w:rFonts w:ascii="GHEA Grapalat" w:hAnsi="GHEA Grapalat" w:cs="Sylfaen"/>
          <w:sz w:val="24"/>
          <w:szCs w:val="24"/>
          <w:lang w:val="hy-AM"/>
        </w:rPr>
        <w:t xml:space="preserve">պանելով,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դ.</w:t>
      </w:r>
      <w:r w:rsidRPr="00FE4C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4609" w:rsidRPr="00FE4CC5">
        <w:rPr>
          <w:rFonts w:ascii="GHEA Grapalat" w:hAnsi="GHEA Grapalat" w:cs="Sylfaen"/>
          <w:sz w:val="24"/>
          <w:szCs w:val="24"/>
          <w:lang w:val="hy-AM"/>
        </w:rPr>
        <w:t>տ</w:t>
      </w:r>
      <w:r w:rsidRPr="00FE4CC5">
        <w:rPr>
          <w:rFonts w:ascii="GHEA Grapalat" w:hAnsi="GHEA Grapalat" w:cs="Sylfaen"/>
          <w:sz w:val="24"/>
          <w:szCs w:val="24"/>
          <w:lang w:val="hy-AM"/>
        </w:rPr>
        <w:t>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FE4CC5">
        <w:rPr>
          <w:rFonts w:ascii="GHEA Grapalat" w:hAnsi="GHEA Grapalat" w:cs="Sylfaen"/>
          <w:sz w:val="24"/>
          <w:szCs w:val="24"/>
          <w:lang w:val="hy-AM"/>
        </w:rPr>
        <w:tab/>
      </w:r>
    </w:p>
    <w:p w:rsidR="002C4609" w:rsidRPr="00FE4CC5" w:rsidRDefault="002C4609" w:rsidP="002C4609">
      <w:pPr>
        <w:pStyle w:val="a6"/>
        <w:numPr>
          <w:ilvl w:val="1"/>
          <w:numId w:val="7"/>
        </w:numPr>
        <w:spacing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CC5">
        <w:rPr>
          <w:rFonts w:ascii="GHEA Grapalat" w:hAnsi="GHEA Grapalat" w:cs="Sylfaen"/>
          <w:sz w:val="24"/>
          <w:szCs w:val="24"/>
          <w:lang w:val="hy-AM"/>
        </w:rPr>
        <w:t>պ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>ատի մեծանկարներ (պաննո) են կոչվում գովազդի այն միջոցները, որոնք տեղադրվում են շինությունների պատերին հետևյալ ձևերով՝</w:t>
      </w:r>
      <w:r w:rsidR="008934AC" w:rsidRPr="00FE4CC5">
        <w:rPr>
          <w:rFonts w:ascii="GHEA Grapalat" w:hAnsi="GHEA Grapalat" w:cs="Sylfaen"/>
          <w:sz w:val="24"/>
          <w:szCs w:val="24"/>
          <w:lang w:val="hy-AM"/>
        </w:rPr>
        <w:tab/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8934AC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դ. պատի մեծանկարների տեղեկատու դաշտի մակերեսը որոշվում է կոնստրուկցիայի կամ անմիջական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չափերով.</w:t>
      </w:r>
    </w:p>
    <w:p w:rsidR="002C4609" w:rsidRPr="00FE4CC5" w:rsidRDefault="002C4609" w:rsidP="009F7B55">
      <w:pPr>
        <w:pStyle w:val="a6"/>
        <w:numPr>
          <w:ilvl w:val="1"/>
          <w:numId w:val="7"/>
        </w:numPr>
        <w:spacing w:line="240" w:lineRule="auto"/>
        <w:ind w:left="709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արձակ (կոնսոլային կոնստրուկցիա) են կոչվում երկկողմանի հարթակային վահանակները, որոնք ամրակցվում են կայմասյուններին կամ շենքերի վրա։ 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lastRenderedPageBreak/>
        <w:t>Համապատասխան հիմնավորման դեպքում թույլատրվում է բարձակները տեղադրել համայնքային լուսավորման և կոնտակտային ցանցերի կրող կոնստրուկցիաների վրա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՝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բ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արձակները պետք է լինեն երկկողմանի տեսքով և ունենան ներքին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լուսավորում,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հ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իմքերի վրա (ուղղահայաց) տեղադրվող բարձակների տիպային չափերն են՝     1.8մx1.2մ (մայրուղիների, պողոտաների, հրապարակների համար), 0.6մx0.9մ, 1.0մx0.7մ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(նեղ փողոցների և նրբանցքների համար) և ավելի փոքր։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2C4609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հ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իմքերի վրա տեղադրված բարձակները տեղադրվում են երթևեկելի մասից դուրս՝ մայթի կողմը։ Արգելվում է մեկից ավել բարձակների տեղադրումը մեկ հիմքի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վրա, </w:t>
      </w:r>
    </w:p>
    <w:p w:rsidR="008934AC" w:rsidRPr="00FE4CC5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բ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արձակի տեղեկատու դաշտի մակերեսը հաշվարկվում է երկու կողմերի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ընդհանուր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մակերեսով.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Կրկնաձիգ գրաժապավենը (տրանսպարանտ) գովազդի տեղեկատվության միջոց է։ Այն բաղկացած է հիմքից, ամրացման սարքավորումից և տեղեկատու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պատկերից՝</w:t>
      </w:r>
    </w:p>
    <w:p w:rsidR="008934AC" w:rsidRPr="00FE4CC5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>րաժապավենների հեռավորությունն իրարից պետք է լինի 50մ-ից ոչ պակա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ս,</w:t>
      </w:r>
    </w:p>
    <w:p w:rsidR="008934AC" w:rsidRPr="00FE4CC5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րաժապավենների բարձրությունը պետք է լինի երթևեկության գծի համեմատ 5մ-ից ոչ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պակաս,</w:t>
      </w:r>
    </w:p>
    <w:p w:rsidR="008934AC" w:rsidRPr="00FE4CC5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տ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>եղեկատու դաշտի մակերեսը որոշվում է երկու կողմերի մակերեսով։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Էկրանավորող սարքավորումները գովազդի և տեղեկատվության միջոց 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>են՝</w:t>
      </w:r>
    </w:p>
    <w:p w:rsidR="008934AC" w:rsidRPr="00FE4CC5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դ</w:t>
      </w:r>
      <w:r w:rsidR="008934AC" w:rsidRPr="00FE4CC5">
        <w:rPr>
          <w:rFonts w:ascii="GHEA Grapalat" w:hAnsi="GHEA Grapalat" w:cs="Courier New"/>
          <w:sz w:val="24"/>
          <w:szCs w:val="24"/>
          <w:lang w:val="hy-AM"/>
        </w:rPr>
        <w:t xml:space="preserve">րանց կոնստրուկցիան ներառում է էկրանավորող (վերարտադրող) սարքավորման մակերես (էկրան) կամ տեղեկատու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պատկեր.</w:t>
      </w:r>
    </w:p>
    <w:p w:rsidR="008934AC" w:rsidRPr="00FE4CC5" w:rsidRDefault="008934AC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Հարթ պատկերների համար նախատեսված տեղեկատու դաշտի մակերեսը որոշվում է էկրանավորող պատկերի մակերեսով։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Գովազդի վահանակների միջև եղած հեռավորությունն ըստ տրանսպորտային միջոցների թույլատրվող արագության պետք է կազմի՝</w:t>
      </w:r>
    </w:p>
    <w:p w:rsidR="002C4609" w:rsidRPr="00FE4CC5" w:rsidRDefault="008934AC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60 կմ/ժ թույլատրվող արագությամբ փողոցների համար մեկ ուղղությամբ երկու վահանակների միջև հեռավորությունը՝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2C4609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 18քմ – 150մ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բ. 15քմ – 100մ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գ. 6քմ – 50մ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8934AC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en-US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:rsidR="002C4609" w:rsidRPr="00FE4CC5" w:rsidRDefault="008934AC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60 կմ/ժամ թույլատրվող արագությունից պակաս փողոցների</w:t>
      </w:r>
      <w:r w:rsidR="002C4609" w:rsidRPr="00FE4CC5">
        <w:rPr>
          <w:rFonts w:ascii="GHEA Grapalat" w:hAnsi="GHEA Grapalat" w:cs="Courier New"/>
          <w:sz w:val="24"/>
          <w:szCs w:val="24"/>
          <w:lang w:val="en-US"/>
        </w:rPr>
        <w:t xml:space="preserve">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>համար մեկ ուղղությամբ երկու հարևան վահանակների միջև հեռավորությունը՝</w:t>
      </w:r>
      <w:r w:rsidR="002C4609" w:rsidRPr="00FE4CC5">
        <w:rPr>
          <w:rFonts w:ascii="GHEA Grapalat" w:hAnsi="GHEA Grapalat" w:cs="Courier New"/>
          <w:sz w:val="24"/>
          <w:szCs w:val="24"/>
          <w:lang w:val="en-US"/>
        </w:rPr>
        <w:t xml:space="preserve"> </w:t>
      </w:r>
    </w:p>
    <w:p w:rsidR="002C4609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ա. 18քմ – 80-100մ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2C4609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բ. 6քմ – 45-50մ</w:t>
      </w:r>
      <w:r w:rsidR="002C4609" w:rsidRPr="00FE4CC5">
        <w:rPr>
          <w:rFonts w:ascii="GHEA Grapalat" w:hAnsi="GHEA Grapalat" w:cs="Courier New"/>
          <w:sz w:val="24"/>
          <w:szCs w:val="24"/>
          <w:lang w:val="hy-AM"/>
        </w:rPr>
        <w:t xml:space="preserve">, </w:t>
      </w:r>
    </w:p>
    <w:p w:rsidR="008934AC" w:rsidRPr="00FE4CC5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Գովազդային վահանակների ներքևի եզրը պետք է տեղադրված լինի փողոցի մակերեսից 6մ-ից ոչ պակաս բարձրության վրա։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8934AC" w:rsidRPr="00FE4CC5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ապրանքանշանների տեղադրումը թույլատրվում է </w:t>
      </w:r>
      <w:r w:rsidR="006408A4" w:rsidRPr="00FE4CC5">
        <w:rPr>
          <w:rFonts w:ascii="GHEA Grapalat" w:hAnsi="GHEA Grapalat" w:cs="Courier New"/>
          <w:sz w:val="24"/>
          <w:szCs w:val="24"/>
          <w:lang w:val="hy-AM"/>
        </w:rPr>
        <w:t>Սիսիան</w:t>
      </w:r>
      <w:r w:rsidRPr="00FE4CC5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:rsidR="002C4609" w:rsidRPr="00FE4CC5" w:rsidRDefault="002C4609" w:rsidP="008934AC">
      <w:pPr>
        <w:pStyle w:val="a4"/>
        <w:jc w:val="right"/>
        <w:rPr>
          <w:rStyle w:val="a5"/>
          <w:rFonts w:ascii="GHEA Grapalat" w:hAnsi="GHEA Grapalat"/>
          <w:lang w:val="hy-AM"/>
        </w:rPr>
      </w:pPr>
    </w:p>
    <w:p w:rsidR="006B6009" w:rsidRPr="00FE4CC5" w:rsidRDefault="00FE4CC5" w:rsidP="00FE4CC5">
      <w:pPr>
        <w:pStyle w:val="a4"/>
        <w:jc w:val="center"/>
        <w:rPr>
          <w:rStyle w:val="a5"/>
          <w:rFonts w:ascii="GHEA Grapalat" w:hAnsi="GHEA Grapalat"/>
          <w:lang w:val="hy-AM"/>
        </w:rPr>
      </w:pPr>
      <w:r w:rsidRPr="00FE4CC5">
        <w:rPr>
          <w:rFonts w:ascii="GHEA Grapalat" w:hAnsi="GHEA Grapalat"/>
          <w:b/>
          <w:lang w:val="hy-AM"/>
        </w:rPr>
        <w:t>ԱՇԽԱՏԱԿԱԶՄԻ ՔԱՐՏՈՒՂԱՐ՝                                      Կ</w:t>
      </w:r>
      <w:r w:rsidRPr="00FE4CC5">
        <w:rPr>
          <w:rFonts w:ascii="Cambria Math" w:hAnsi="Cambria Math" w:cs="Cambria Math"/>
          <w:b/>
          <w:lang w:val="hy-AM"/>
        </w:rPr>
        <w:t xml:space="preserve">. </w:t>
      </w:r>
      <w:r w:rsidRPr="00FE4CC5">
        <w:rPr>
          <w:rFonts w:ascii="GHEA Grapalat" w:hAnsi="GHEA Grapalat"/>
          <w:b/>
          <w:lang w:val="hy-AM"/>
        </w:rPr>
        <w:t>ԻՎԱՆՅԱՆ</w:t>
      </w:r>
    </w:p>
    <w:p w:rsidR="00FE4CC5" w:rsidRPr="00FE4CC5" w:rsidRDefault="00FE4CC5" w:rsidP="008934AC">
      <w:pPr>
        <w:pStyle w:val="a4"/>
        <w:jc w:val="right"/>
        <w:rPr>
          <w:rStyle w:val="a5"/>
          <w:rFonts w:ascii="GHEA Grapalat" w:hAnsi="GHEA Grapalat"/>
          <w:lang w:val="hy-AM"/>
        </w:rPr>
      </w:pPr>
    </w:p>
    <w:p w:rsidR="008934AC" w:rsidRPr="00FE4CC5" w:rsidRDefault="008934AC" w:rsidP="008934AC">
      <w:pPr>
        <w:pStyle w:val="a4"/>
        <w:jc w:val="right"/>
        <w:rPr>
          <w:rStyle w:val="a5"/>
          <w:rFonts w:ascii="GHEA Grapalat" w:hAnsi="GHEA Grapalat"/>
          <w:lang w:val="hy-AM"/>
        </w:rPr>
      </w:pPr>
      <w:r w:rsidRPr="00FE4CC5">
        <w:rPr>
          <w:rStyle w:val="a5"/>
          <w:rFonts w:ascii="GHEA Grapalat" w:hAnsi="GHEA Grapalat"/>
          <w:lang w:val="hy-AM"/>
        </w:rPr>
        <w:t xml:space="preserve">Ձև </w:t>
      </w:r>
      <w:r w:rsidR="006408A4" w:rsidRPr="00FE4CC5">
        <w:rPr>
          <w:rStyle w:val="a5"/>
          <w:rFonts w:ascii="GHEA Grapalat" w:hAnsi="GHEA Grapalat"/>
          <w:lang w:val="hy-AM"/>
        </w:rPr>
        <w:t>1</w:t>
      </w:r>
    </w:p>
    <w:p w:rsidR="008934AC" w:rsidRPr="00FE4CC5" w:rsidRDefault="008934AC" w:rsidP="008934AC">
      <w:pPr>
        <w:pStyle w:val="a4"/>
        <w:jc w:val="center"/>
        <w:rPr>
          <w:rFonts w:ascii="GHEA Grapalat" w:hAnsi="GHEA Grapalat"/>
          <w:lang w:val="hy-AM"/>
        </w:rPr>
      </w:pPr>
      <w:r w:rsidRPr="00FE4CC5">
        <w:rPr>
          <w:rStyle w:val="a5"/>
          <w:rFonts w:ascii="GHEA Grapalat" w:hAnsi="GHEA Grapalat"/>
          <w:lang w:val="hy-AM"/>
        </w:rPr>
        <w:t xml:space="preserve">ԹՈՒՅԼՏՎՈՒԹՅՈՒՆ ԹԻՎ  - </w:t>
      </w:r>
      <w:bookmarkStart w:id="0" w:name="_GoBack"/>
      <w:bookmarkEnd w:id="0"/>
    </w:p>
    <w:p w:rsidR="008934AC" w:rsidRPr="00FE4CC5" w:rsidRDefault="00C44247" w:rsidP="008934AC">
      <w:pPr>
        <w:pStyle w:val="a4"/>
        <w:jc w:val="center"/>
        <w:rPr>
          <w:rFonts w:ascii="GHEA Grapalat" w:hAnsi="GHEA Grapalat"/>
          <w:lang w:val="hy-AM"/>
        </w:rPr>
      </w:pPr>
      <w:r w:rsidRPr="00FE4CC5">
        <w:rPr>
          <w:rFonts w:ascii="GHEA Grapalat" w:hAnsi="GHEA Grapalat" w:cs="Sylfaen"/>
          <w:b/>
          <w:lang w:val="hy-AM"/>
        </w:rPr>
        <w:t>ՀԱՅԱՍՏԱՆԻ ՀԱՆՐԱՊԵՏՈՒԹՅԱՆ</w:t>
      </w:r>
      <w:r w:rsidR="008934AC" w:rsidRPr="00FE4CC5">
        <w:rPr>
          <w:rStyle w:val="a5"/>
          <w:rFonts w:ascii="GHEA Grapalat" w:hAnsi="GHEA Grapalat"/>
          <w:lang w:val="hy-AM"/>
        </w:rPr>
        <w:t xml:space="preserve"> </w:t>
      </w:r>
      <w:r w:rsidR="006408A4" w:rsidRPr="00FE4CC5">
        <w:rPr>
          <w:rStyle w:val="a5"/>
          <w:rFonts w:ascii="GHEA Grapalat" w:hAnsi="GHEA Grapalat"/>
          <w:lang w:val="hy-AM"/>
        </w:rPr>
        <w:t>ՍՅՈՒՆԻՔԻ</w:t>
      </w:r>
      <w:r w:rsidR="008934AC" w:rsidRPr="00FE4CC5">
        <w:rPr>
          <w:rStyle w:val="a5"/>
          <w:rFonts w:ascii="GHEA Grapalat" w:hAnsi="GHEA Grapalat"/>
          <w:lang w:val="hy-AM"/>
        </w:rPr>
        <w:t xml:space="preserve"> ՄԱՐԶԻ </w:t>
      </w:r>
      <w:r w:rsidR="006408A4" w:rsidRPr="00FE4CC5">
        <w:rPr>
          <w:rStyle w:val="a5"/>
          <w:rFonts w:ascii="GHEA Grapalat" w:hAnsi="GHEA Grapalat"/>
          <w:lang w:val="hy-AM"/>
        </w:rPr>
        <w:t>ՍԻՍԻԱՆ</w:t>
      </w:r>
      <w:r w:rsidR="008934AC" w:rsidRPr="00FE4CC5">
        <w:rPr>
          <w:rStyle w:val="a5"/>
          <w:rFonts w:ascii="GHEA Grapalat" w:hAnsi="GHEA Grapalat"/>
          <w:lang w:val="hy-AM"/>
        </w:rPr>
        <w:t xml:space="preserve"> ՀԱՄԱՅՆՔԻ ՎԱՐՉԱԿԱՆ ՏԱՐԱԾՔՈՒՄ ԱՐՏԱՔԻՆ ԳՈՎԱԶԴ ՏԵՂԱԴՐԵԼՈՒ</w:t>
      </w:r>
    </w:p>
    <w:p w:rsidR="008934AC" w:rsidRPr="00FE4CC5" w:rsidRDefault="008934AC" w:rsidP="008934AC">
      <w:pPr>
        <w:pStyle w:val="a4"/>
        <w:rPr>
          <w:rFonts w:ascii="GHEA Grapalat" w:hAnsi="GHEA Grapalat"/>
          <w:lang w:val="hy-AM"/>
        </w:rPr>
      </w:pPr>
      <w:r w:rsidRPr="00FE4CC5">
        <w:rPr>
          <w:rFonts w:ascii="GHEA Grapalat" w:hAnsi="GHEA Grapalat"/>
          <w:lang w:val="hy-AM"/>
        </w:rPr>
        <w:t>Տրված` «.......</w:t>
      </w:r>
      <w:r w:rsidRPr="00FE4CC5">
        <w:rPr>
          <w:rFonts w:ascii="GHEA Grapalat" w:hAnsi="GHEA Grapalat" w:cs="Courier New"/>
          <w:lang w:val="hy-AM"/>
        </w:rPr>
        <w:t>»...................................</w:t>
      </w:r>
      <w:r w:rsidRPr="00FE4CC5">
        <w:rPr>
          <w:rStyle w:val="a3"/>
          <w:rFonts w:ascii="GHEA Grapalat" w:hAnsi="GHEA Grapalat"/>
          <w:bCs/>
          <w:lang w:val="hy-AM"/>
        </w:rPr>
        <w:t>20......թ.</w:t>
      </w:r>
    </w:p>
    <w:p w:rsidR="008934AC" w:rsidRPr="00FE4CC5" w:rsidRDefault="008934AC" w:rsidP="008934AC">
      <w:pPr>
        <w:pStyle w:val="a4"/>
        <w:rPr>
          <w:rFonts w:ascii="GHEA Grapalat" w:hAnsi="GHEA Grapalat" w:cs="Courier New"/>
          <w:lang w:val="hy-AM"/>
        </w:rPr>
      </w:pPr>
      <w:r w:rsidRPr="00FE4CC5">
        <w:rPr>
          <w:rFonts w:ascii="GHEA Grapalat" w:hAnsi="GHEA Grapalat"/>
          <w:lang w:val="hy-AM"/>
        </w:rPr>
        <w:br/>
        <w:t>Թույլատրված</w:t>
      </w:r>
      <w:r w:rsidRPr="00FE4CC5">
        <w:rPr>
          <w:rFonts w:ascii="Calibri" w:hAnsi="Calibri" w:cs="Calibri"/>
          <w:lang w:val="hy-AM"/>
        </w:rPr>
        <w:t> </w:t>
      </w:r>
      <w:r w:rsidRPr="00FE4CC5">
        <w:rPr>
          <w:rFonts w:ascii="GHEA Grapalat" w:hAnsi="GHEA Grapalat"/>
          <w:lang w:val="hy-AM"/>
        </w:rPr>
        <w:t>գործունեության անվանումը`</w:t>
      </w:r>
      <w:r w:rsidRPr="00FE4CC5">
        <w:rPr>
          <w:rFonts w:ascii="Calibri" w:hAnsi="Calibri" w:cs="Calibri"/>
          <w:lang w:val="hy-AM"/>
        </w:rPr>
        <w:t> </w:t>
      </w:r>
    </w:p>
    <w:p w:rsidR="008934AC" w:rsidRPr="00FE4CC5" w:rsidRDefault="008934AC" w:rsidP="008934AC">
      <w:pPr>
        <w:pStyle w:val="a4"/>
        <w:jc w:val="both"/>
        <w:rPr>
          <w:rFonts w:ascii="GHEA Grapalat" w:hAnsi="GHEA Grapalat" w:cs="Courier New"/>
          <w:lang w:val="hy-AM"/>
        </w:rPr>
      </w:pPr>
      <w:r w:rsidRPr="00FE4CC5">
        <w:rPr>
          <w:rFonts w:ascii="Courier New" w:hAnsi="Courier New" w:cs="Courier New"/>
          <w:lang w:val="hy-AM"/>
        </w:rPr>
        <w:t>―――――――――――――――――――――――――――――――――――――</w:t>
      </w:r>
      <w:r w:rsidRPr="00FE4CC5">
        <w:rPr>
          <w:rFonts w:ascii="GHEA Grapalat" w:hAnsi="GHEA Grapalat" w:cs="Courier New"/>
          <w:lang w:val="hy-AM"/>
        </w:rPr>
        <w:br/>
      </w:r>
      <w:r w:rsidRPr="00FE4CC5">
        <w:rPr>
          <w:rFonts w:ascii="GHEA Grapalat" w:hAnsi="GHEA Grapalat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E4CC5">
        <w:rPr>
          <w:rFonts w:ascii="Calibri" w:hAnsi="Calibri" w:cs="Calibri"/>
          <w:lang w:val="hy-AM"/>
        </w:rPr>
        <w:t> </w:t>
      </w:r>
    </w:p>
    <w:p w:rsidR="008934AC" w:rsidRPr="00FE4CC5" w:rsidRDefault="008934AC" w:rsidP="008934AC">
      <w:pPr>
        <w:pStyle w:val="a4"/>
        <w:spacing w:line="360" w:lineRule="auto"/>
        <w:rPr>
          <w:rFonts w:ascii="GHEA Grapalat" w:hAnsi="GHEA Grapalat"/>
          <w:lang w:val="hy-AM"/>
        </w:rPr>
      </w:pPr>
      <w:r w:rsidRPr="00FE4CC5">
        <w:rPr>
          <w:rFonts w:ascii="Courier New" w:hAnsi="Courier New" w:cs="Courier New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E4CC5">
        <w:rPr>
          <w:rFonts w:ascii="GHEA Grapalat" w:hAnsi="GHEA Grapalat"/>
          <w:lang w:val="hy-AM"/>
        </w:rPr>
        <w:br/>
        <w:t>Գովազդի տեղադրման</w:t>
      </w:r>
      <w:r w:rsidRPr="00FE4CC5">
        <w:rPr>
          <w:rFonts w:ascii="Calibri" w:hAnsi="Calibri" w:cs="Calibri"/>
          <w:lang w:val="hy-AM"/>
        </w:rPr>
        <w:t> </w:t>
      </w:r>
      <w:r w:rsidRPr="00FE4CC5">
        <w:rPr>
          <w:rFonts w:ascii="GHEA Grapalat" w:hAnsi="GHEA Grapalat"/>
          <w:lang w:val="hy-AM"/>
        </w:rPr>
        <w:t>վայրը/վայրերը և չափերը (քմ)`</w:t>
      </w:r>
      <w:r w:rsidRPr="00FE4CC5">
        <w:rPr>
          <w:rFonts w:ascii="Calibri" w:hAnsi="Calibri" w:cs="Calibri"/>
          <w:lang w:val="hy-AM"/>
        </w:rPr>
        <w:t> </w:t>
      </w:r>
      <w:r w:rsidRPr="00FE4CC5">
        <w:rPr>
          <w:rFonts w:ascii="GHEA Grapalat" w:hAnsi="GHEA Grapalat" w:cs="Courier New"/>
          <w:lang w:val="hy-AM"/>
        </w:rPr>
        <w:br/>
      </w:r>
      <w:r w:rsidRPr="00FE4CC5">
        <w:rPr>
          <w:rFonts w:ascii="GHEA Grapalat" w:hAnsi="GHEA Grapalat"/>
          <w:b/>
          <w:bCs/>
          <w:i/>
          <w:iCs/>
          <w:lang w:val="hy-AM"/>
        </w:rPr>
        <w:br/>
      </w:r>
      <w:r w:rsidRPr="00FE4CC5">
        <w:rPr>
          <w:rFonts w:ascii="Courier New" w:hAnsi="Courier New" w:cs="Courier New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E4CC5">
        <w:rPr>
          <w:rFonts w:ascii="GHEA Grapalat" w:hAnsi="GHEA Grapalat"/>
          <w:lang w:val="hy-AM"/>
        </w:rPr>
        <w:br/>
        <w:t>Թույլտվության գործողության ժամկետը`</w:t>
      </w:r>
      <w:r w:rsidRPr="00FE4CC5">
        <w:rPr>
          <w:rFonts w:ascii="Calibri" w:hAnsi="Calibri" w:cs="Calibri"/>
          <w:lang w:val="hy-AM"/>
        </w:rPr>
        <w:t> </w:t>
      </w:r>
      <w:r w:rsidRPr="00FE4CC5">
        <w:rPr>
          <w:rFonts w:ascii="GHEA Grapalat" w:hAnsi="GHEA Grapalat" w:cs="Courier New"/>
          <w:lang w:val="hy-AM"/>
        </w:rPr>
        <w:br/>
      </w:r>
      <w:r w:rsidRPr="00FE4CC5">
        <w:rPr>
          <w:rFonts w:ascii="GHEA Grapalat" w:hAnsi="GHEA Grapalat" w:cs="GHEA Grapalat"/>
          <w:lang w:val="hy-AM"/>
        </w:rPr>
        <w:br/>
      </w:r>
      <w:r w:rsidRPr="00FE4CC5">
        <w:rPr>
          <w:rFonts w:ascii="GHEA Grapalat" w:hAnsi="GHEA Grapalat"/>
          <w:lang w:val="hy-AM"/>
        </w:rPr>
        <w:t>«.......</w:t>
      </w:r>
      <w:r w:rsidRPr="00FE4CC5">
        <w:rPr>
          <w:rFonts w:ascii="GHEA Grapalat" w:hAnsi="GHEA Grapalat" w:cs="Courier New"/>
          <w:lang w:val="hy-AM"/>
        </w:rPr>
        <w:t>».................................</w:t>
      </w:r>
      <w:r w:rsidRPr="00FE4CC5">
        <w:rPr>
          <w:rStyle w:val="a3"/>
          <w:rFonts w:ascii="GHEA Grapalat" w:hAnsi="GHEA Grapalat"/>
          <w:bCs/>
          <w:lang w:val="hy-AM"/>
        </w:rPr>
        <w:t>20......թ.</w:t>
      </w:r>
      <w:r w:rsidRPr="00FE4CC5">
        <w:rPr>
          <w:rFonts w:ascii="GHEA Grapalat" w:hAnsi="GHEA Grapalat"/>
          <w:lang w:val="hy-AM"/>
        </w:rPr>
        <w:t>-ից</w:t>
      </w:r>
      <w:r w:rsidRPr="00FE4CC5">
        <w:rPr>
          <w:rFonts w:ascii="Calibri" w:hAnsi="Calibri" w:cs="Calibri"/>
          <w:lang w:val="hy-AM"/>
        </w:rPr>
        <w:t> </w:t>
      </w:r>
      <w:r w:rsidRPr="00FE4CC5">
        <w:rPr>
          <w:rFonts w:ascii="GHEA Grapalat" w:hAnsi="GHEA Grapalat"/>
          <w:lang w:val="hy-AM"/>
        </w:rPr>
        <w:t>մինչև «.......</w:t>
      </w:r>
      <w:r w:rsidRPr="00FE4CC5">
        <w:rPr>
          <w:rFonts w:ascii="GHEA Grapalat" w:hAnsi="GHEA Grapalat" w:cs="Courier New"/>
          <w:lang w:val="hy-AM"/>
        </w:rPr>
        <w:t>».................................</w:t>
      </w:r>
      <w:r w:rsidRPr="00FE4CC5">
        <w:rPr>
          <w:rStyle w:val="a3"/>
          <w:rFonts w:ascii="GHEA Grapalat" w:hAnsi="GHEA Grapalat"/>
          <w:bCs/>
          <w:lang w:val="hy-AM"/>
        </w:rPr>
        <w:t>20......թ.</w:t>
      </w:r>
      <w:r w:rsidRPr="00FE4CC5">
        <w:rPr>
          <w:rFonts w:ascii="GHEA Grapalat" w:hAnsi="GHEA Grapalat"/>
          <w:lang w:val="hy-AM"/>
        </w:rPr>
        <w:t>-ը:</w:t>
      </w:r>
    </w:p>
    <w:p w:rsidR="008934AC" w:rsidRPr="00FE4CC5" w:rsidRDefault="008934AC" w:rsidP="008934AC">
      <w:pPr>
        <w:pStyle w:val="a4"/>
        <w:rPr>
          <w:rFonts w:ascii="GHEA Grapalat" w:hAnsi="GHEA Grapalat"/>
          <w:lang w:val="hy-AM"/>
        </w:rPr>
      </w:pPr>
      <w:r w:rsidRPr="00FE4CC5">
        <w:rPr>
          <w:rFonts w:ascii="Calibri" w:hAnsi="Calibri" w:cs="Calibri"/>
          <w:lang w:val="hy-AM"/>
        </w:rPr>
        <w:t> </w:t>
      </w:r>
    </w:p>
    <w:p w:rsidR="008934AC" w:rsidRPr="00FE4CC5" w:rsidRDefault="008934AC" w:rsidP="008934AC">
      <w:pPr>
        <w:pStyle w:val="a4"/>
        <w:rPr>
          <w:rFonts w:ascii="GHEA Grapalat" w:hAnsi="GHEA Grapalat"/>
          <w:lang w:val="hy-AM"/>
        </w:rPr>
      </w:pPr>
      <w:r w:rsidRPr="00FE4CC5">
        <w:rPr>
          <w:rFonts w:ascii="Calibri" w:hAnsi="Calibri" w:cs="Calibri"/>
          <w:lang w:val="hy-AM"/>
        </w:rPr>
        <w:t>  </w:t>
      </w:r>
    </w:p>
    <w:p w:rsidR="008934AC" w:rsidRPr="00FE4CC5" w:rsidRDefault="008934AC" w:rsidP="008934AC">
      <w:pPr>
        <w:rPr>
          <w:rFonts w:ascii="GHEA Grapalat" w:hAnsi="GHEA Grapalat"/>
          <w:sz w:val="24"/>
          <w:szCs w:val="24"/>
          <w:lang w:val="hy-AM"/>
        </w:rPr>
      </w:pPr>
      <w:r w:rsidRPr="00FE4CC5">
        <w:rPr>
          <w:rStyle w:val="a5"/>
          <w:rFonts w:ascii="GHEA Grapalat" w:hAnsi="GHEA Grapalat"/>
          <w:sz w:val="24"/>
          <w:szCs w:val="24"/>
          <w:lang w:val="hy-AM"/>
        </w:rPr>
        <w:t xml:space="preserve">       </w:t>
      </w:r>
      <w:r w:rsidR="006408A4" w:rsidRPr="00FE4CC5">
        <w:rPr>
          <w:rStyle w:val="a5"/>
          <w:rFonts w:ascii="GHEA Grapalat" w:hAnsi="GHEA Grapalat"/>
          <w:sz w:val="24"/>
          <w:szCs w:val="24"/>
          <w:lang w:val="hy-AM"/>
        </w:rPr>
        <w:t>ՍԻՍԻԱՆ</w:t>
      </w:r>
      <w:r w:rsidRPr="00FE4CC5">
        <w:rPr>
          <w:rStyle w:val="a5"/>
          <w:rFonts w:ascii="GHEA Grapalat" w:hAnsi="GHEA Grapalat"/>
          <w:sz w:val="24"/>
          <w:szCs w:val="24"/>
          <w:lang w:val="hy-AM"/>
        </w:rPr>
        <w:t xml:space="preserve"> ՀԱՄԱՅՆՔԻ ՂԵԿԱՎԱՐ</w:t>
      </w:r>
      <w:r w:rsidRPr="00FE4CC5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FE4CC5">
        <w:rPr>
          <w:rStyle w:val="a5"/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E4CC5">
        <w:rPr>
          <w:rStyle w:val="a5"/>
          <w:rFonts w:ascii="GHEA Grapalat" w:hAnsi="GHEA Grapalat"/>
          <w:sz w:val="24"/>
          <w:szCs w:val="24"/>
          <w:lang w:val="hy-AM"/>
        </w:rPr>
        <w:t xml:space="preserve">______________________  </w:t>
      </w:r>
      <w:r w:rsidR="006408A4" w:rsidRPr="00FE4CC5"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="006408A4" w:rsidRPr="00FE4CC5">
        <w:rPr>
          <w:rStyle w:val="a5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408A4" w:rsidRPr="00FE4CC5">
        <w:rPr>
          <w:rStyle w:val="a5"/>
          <w:rFonts w:ascii="GHEA Grapalat" w:hAnsi="GHEA Grapalat"/>
          <w:sz w:val="24"/>
          <w:szCs w:val="24"/>
          <w:lang w:val="hy-AM"/>
        </w:rPr>
        <w:t>ՀԱԿՈԲՋԱՆՅԱՆ</w:t>
      </w:r>
      <w:r w:rsidRPr="00FE4CC5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</w:p>
    <w:p w:rsidR="008934AC" w:rsidRPr="00FE4CC5" w:rsidRDefault="008934AC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2C4609" w:rsidRDefault="002C4609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C44247" w:rsidRDefault="00C44247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C44247" w:rsidRDefault="00C44247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C44247" w:rsidRDefault="00C44247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C44247" w:rsidRDefault="00C44247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C44247" w:rsidRPr="00FE4CC5" w:rsidRDefault="00C44247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34AC" w:rsidRPr="00FE4CC5" w:rsidRDefault="008934AC" w:rsidP="002C4609">
      <w:pPr>
        <w:pStyle w:val="a4"/>
        <w:jc w:val="right"/>
        <w:rPr>
          <w:rStyle w:val="a5"/>
          <w:rFonts w:ascii="GHEA Grapalat" w:hAnsi="GHEA Grapalat"/>
          <w:lang w:val="hy-AM"/>
        </w:rPr>
      </w:pPr>
      <w:r w:rsidRPr="00FE4CC5">
        <w:rPr>
          <w:rStyle w:val="a5"/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Ձև </w:t>
      </w:r>
      <w:r w:rsidR="006408A4" w:rsidRPr="00FE4CC5">
        <w:rPr>
          <w:rStyle w:val="a5"/>
          <w:rFonts w:ascii="GHEA Grapalat" w:hAnsi="GHEA Grapalat"/>
          <w:lang w:val="hy-AM"/>
        </w:rPr>
        <w:t>2</w:t>
      </w:r>
    </w:p>
    <w:p w:rsidR="008934AC" w:rsidRPr="00FE4CC5" w:rsidRDefault="008934AC" w:rsidP="008934AC">
      <w:pPr>
        <w:pStyle w:val="a4"/>
        <w:jc w:val="center"/>
        <w:rPr>
          <w:rFonts w:ascii="GHEA Grapalat" w:hAnsi="GHEA Grapalat" w:cs="Sylfaen"/>
          <w:b/>
          <w:lang w:val="en-US"/>
        </w:rPr>
      </w:pPr>
      <w:r w:rsidRPr="00FE4CC5">
        <w:rPr>
          <w:rFonts w:ascii="GHEA Grapalat" w:hAnsi="GHEA Grapalat" w:cs="Sylfaen"/>
          <w:b/>
          <w:lang w:val="hy-AM"/>
        </w:rPr>
        <w:t xml:space="preserve">ԳՈՎԱԶԴԻ </w:t>
      </w:r>
      <w:r w:rsidRPr="00FE4CC5">
        <w:rPr>
          <w:rFonts w:ascii="GHEA Grapalat" w:hAnsi="GHEA Grapalat" w:cs="Sylfaen"/>
          <w:b/>
          <w:lang w:val="en-US"/>
        </w:rPr>
        <w:t xml:space="preserve">  </w:t>
      </w:r>
      <w:r w:rsidRPr="00FE4CC5">
        <w:rPr>
          <w:rFonts w:ascii="GHEA Grapalat" w:hAnsi="GHEA Grapalat"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8934AC" w:rsidRPr="00FE4CC5" w:rsidTr="002512E3">
        <w:tc>
          <w:tcPr>
            <w:tcW w:w="8319" w:type="dxa"/>
          </w:tcPr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FE4CC5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</w:tr>
    </w:tbl>
    <w:p w:rsidR="00F12C76" w:rsidRPr="00FE4CC5" w:rsidRDefault="00F12C76" w:rsidP="006B6009">
      <w:pPr>
        <w:spacing w:after="0"/>
        <w:jc w:val="both"/>
        <w:rPr>
          <w:rFonts w:ascii="GHEA Grapalat" w:hAnsi="GHEA Grapalat"/>
          <w:sz w:val="24"/>
          <w:szCs w:val="24"/>
        </w:rPr>
      </w:pPr>
    </w:p>
    <w:sectPr w:rsidR="00F12C76" w:rsidRPr="00FE4CC5" w:rsidSect="00A310E6">
      <w:pgSz w:w="11906" w:h="16838" w:code="9"/>
      <w:pgMar w:top="851" w:right="849" w:bottom="993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E1D"/>
    <w:multiLevelType w:val="hybridMultilevel"/>
    <w:tmpl w:val="6AFCB47A"/>
    <w:lvl w:ilvl="0" w:tplc="CD66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54C"/>
    <w:multiLevelType w:val="hybridMultilevel"/>
    <w:tmpl w:val="123CE184"/>
    <w:lvl w:ilvl="0" w:tplc="04090013">
      <w:start w:val="1"/>
      <w:numFmt w:val="upperRoman"/>
      <w:lvlText w:val="%1."/>
      <w:lvlJc w:val="righ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 w15:restartNumberingAfterBreak="0">
    <w:nsid w:val="27D961D9"/>
    <w:multiLevelType w:val="hybridMultilevel"/>
    <w:tmpl w:val="2196CC58"/>
    <w:lvl w:ilvl="0" w:tplc="FC863A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6174C7"/>
    <w:multiLevelType w:val="hybridMultilevel"/>
    <w:tmpl w:val="B11C0D5C"/>
    <w:lvl w:ilvl="0" w:tplc="FC863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AB28BA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4E693C"/>
    <w:multiLevelType w:val="hybridMultilevel"/>
    <w:tmpl w:val="D4C290A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CEF58B5"/>
    <w:multiLevelType w:val="hybridMultilevel"/>
    <w:tmpl w:val="4D807F58"/>
    <w:lvl w:ilvl="0" w:tplc="8AFC86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3A0E74"/>
    <w:multiLevelType w:val="hybridMultilevel"/>
    <w:tmpl w:val="E3CA5E8A"/>
    <w:lvl w:ilvl="0" w:tplc="1AF6D87C">
      <w:start w:val="1"/>
      <w:numFmt w:val="decimal"/>
      <w:lvlText w:val="%1."/>
      <w:lvlJc w:val="left"/>
      <w:pPr>
        <w:ind w:left="6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6D9563E"/>
    <w:multiLevelType w:val="hybridMultilevel"/>
    <w:tmpl w:val="9D26427A"/>
    <w:lvl w:ilvl="0" w:tplc="8AFC86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E623C1E"/>
    <w:multiLevelType w:val="hybridMultilevel"/>
    <w:tmpl w:val="17F8EB44"/>
    <w:lvl w:ilvl="0" w:tplc="FC863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95"/>
    <w:rsid w:val="000A2A01"/>
    <w:rsid w:val="00264311"/>
    <w:rsid w:val="002C0B4A"/>
    <w:rsid w:val="002C4609"/>
    <w:rsid w:val="003B1568"/>
    <w:rsid w:val="006408A4"/>
    <w:rsid w:val="006A77D7"/>
    <w:rsid w:val="006B6009"/>
    <w:rsid w:val="006C0B77"/>
    <w:rsid w:val="00783875"/>
    <w:rsid w:val="007E0F06"/>
    <w:rsid w:val="008242FF"/>
    <w:rsid w:val="00862E4A"/>
    <w:rsid w:val="00870751"/>
    <w:rsid w:val="00877D0E"/>
    <w:rsid w:val="008934AC"/>
    <w:rsid w:val="008C6595"/>
    <w:rsid w:val="00922C48"/>
    <w:rsid w:val="00956B24"/>
    <w:rsid w:val="009E3546"/>
    <w:rsid w:val="009F2F03"/>
    <w:rsid w:val="00A310E6"/>
    <w:rsid w:val="00B10A91"/>
    <w:rsid w:val="00B915B7"/>
    <w:rsid w:val="00C44247"/>
    <w:rsid w:val="00C624E1"/>
    <w:rsid w:val="00C95CFC"/>
    <w:rsid w:val="00C9700C"/>
    <w:rsid w:val="00DB405A"/>
    <w:rsid w:val="00DC04FC"/>
    <w:rsid w:val="00E31F9A"/>
    <w:rsid w:val="00E34594"/>
    <w:rsid w:val="00EA59DF"/>
    <w:rsid w:val="00EE4070"/>
    <w:rsid w:val="00F12C76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A95E"/>
  <w15:chartTrackingRefBased/>
  <w15:docId w15:val="{715DD10C-FF18-42B9-BCAA-5E05340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34AC"/>
    <w:rPr>
      <w:i/>
      <w:i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934AC"/>
    <w:rPr>
      <w:b/>
      <w:bCs/>
    </w:rPr>
  </w:style>
  <w:style w:type="paragraph" w:styleId="a6">
    <w:name w:val="List Paragraph"/>
    <w:basedOn w:val="a"/>
    <w:uiPriority w:val="34"/>
    <w:qFormat/>
    <w:rsid w:val="00DC04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3E50-33EE-40CE-BE70-708D11E0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2743</Words>
  <Characters>15638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2024-02-22T12:29:00Z</cp:lastPrinted>
  <dcterms:created xsi:type="dcterms:W3CDTF">2024-02-22T11:41:00Z</dcterms:created>
  <dcterms:modified xsi:type="dcterms:W3CDTF">2024-02-22T12:29:00Z</dcterms:modified>
</cp:coreProperties>
</file>